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7E7" w:rsidRPr="002537E7" w:rsidRDefault="002537E7" w:rsidP="002537E7">
      <w:pPr>
        <w:pStyle w:val="1"/>
        <w:rPr>
          <w:b w:val="0"/>
          <w:color w:val="4472C4" w:themeColor="accent1"/>
        </w:rPr>
      </w:pPr>
      <w:r w:rsidRPr="002537E7">
        <w:rPr>
          <w:color w:val="4472C4" w:themeColor="accent1"/>
        </w:rPr>
        <w:t>Выдержки</w:t>
      </w:r>
      <w:r w:rsidRPr="002537E7">
        <w:rPr>
          <w:b w:val="0"/>
          <w:color w:val="4472C4" w:themeColor="accent1"/>
        </w:rPr>
        <w:t xml:space="preserve"> из </w:t>
      </w:r>
      <w:hyperlink r:id="rId4" w:history="1">
        <w:r w:rsidRPr="002537E7">
          <w:rPr>
            <w:rStyle w:val="a3"/>
            <w:b w:val="0"/>
            <w:bCs w:val="0"/>
            <w:color w:val="4472C4" w:themeColor="accent1"/>
          </w:rPr>
          <w:t>приказа</w:t>
        </w:r>
        <w:r w:rsidRPr="002537E7">
          <w:rPr>
            <w:rStyle w:val="a3"/>
            <w:b w:val="0"/>
            <w:bCs w:val="0"/>
            <w:color w:val="4472C4" w:themeColor="accent1"/>
          </w:rPr>
          <w:t xml:space="preserve"> Федеральной службы по тарифам от 28 апреля 2014 г. N 101-э/3</w:t>
        </w:r>
        <w:r w:rsidRPr="002537E7">
          <w:rPr>
            <w:rStyle w:val="a3"/>
            <w:b w:val="0"/>
            <w:bCs w:val="0"/>
            <w:color w:val="4472C4" w:themeColor="accent1"/>
          </w:rPr>
          <w:br/>
          <w:t>"Об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(или) стандартизированных тарифных ставок, определяющих ее величину"</w:t>
        </w:r>
      </w:hyperlink>
    </w:p>
    <w:p w:rsidR="002537E7" w:rsidRPr="002537E7" w:rsidRDefault="002537E7" w:rsidP="002537E7">
      <w:pPr>
        <w:jc w:val="center"/>
        <w:rPr>
          <w:rStyle w:val="a4"/>
          <w:color w:val="4472C4" w:themeColor="accent1"/>
        </w:rPr>
      </w:pPr>
      <w:bookmarkStart w:id="0" w:name="sub_1000"/>
      <w:r w:rsidRPr="002537E7">
        <w:rPr>
          <w:rStyle w:val="a4"/>
          <w:color w:val="4472C4" w:themeColor="accent1"/>
        </w:rPr>
        <w:t>для определения платы за технологическое присоединение газоиспользующего оборудования к газораспределительным сетям на основании стандартизированных ставок</w:t>
      </w:r>
    </w:p>
    <w:p w:rsidR="002537E7" w:rsidRDefault="002537E7" w:rsidP="002537E7">
      <w:pPr>
        <w:ind w:firstLine="698"/>
        <w:jc w:val="right"/>
        <w:rPr>
          <w:rStyle w:val="a4"/>
        </w:rPr>
      </w:pPr>
    </w:p>
    <w:p w:rsidR="002537E7" w:rsidRDefault="002537E7" w:rsidP="002537E7">
      <w:pPr>
        <w:ind w:firstLine="698"/>
        <w:jc w:val="right"/>
        <w:rPr>
          <w:rStyle w:val="a4"/>
        </w:rPr>
      </w:pPr>
    </w:p>
    <w:p w:rsidR="002537E7" w:rsidRDefault="002537E7" w:rsidP="002537E7">
      <w:pPr>
        <w:ind w:firstLine="698"/>
        <w:jc w:val="right"/>
      </w:pPr>
      <w:r>
        <w:rPr>
          <w:rStyle w:val="a4"/>
        </w:rPr>
        <w:t>Приложение</w:t>
      </w:r>
      <w:r>
        <w:rPr>
          <w:rStyle w:val="a4"/>
        </w:rPr>
        <w:br/>
        <w:t xml:space="preserve">к </w:t>
      </w:r>
      <w:hyperlink w:anchor="sub_0" w:history="1">
        <w:r>
          <w:rPr>
            <w:rStyle w:val="a3"/>
          </w:rPr>
          <w:t>приказу</w:t>
        </w:r>
      </w:hyperlink>
      <w:r>
        <w:rPr>
          <w:rStyle w:val="a4"/>
        </w:rPr>
        <w:t xml:space="preserve"> Федеральной</w:t>
      </w:r>
      <w:r>
        <w:rPr>
          <w:rStyle w:val="a4"/>
        </w:rPr>
        <w:br/>
        <w:t>службы по тарифам</w:t>
      </w:r>
      <w:r>
        <w:rPr>
          <w:rStyle w:val="a4"/>
        </w:rPr>
        <w:br/>
        <w:t>от 28 апреля 2014 г. N 101-э/3</w:t>
      </w:r>
    </w:p>
    <w:bookmarkEnd w:id="0"/>
    <w:p w:rsidR="002537E7" w:rsidRDefault="002537E7" w:rsidP="002537E7"/>
    <w:p w:rsidR="002537E7" w:rsidRDefault="002537E7" w:rsidP="002537E7">
      <w:pPr>
        <w:pStyle w:val="1"/>
      </w:pPr>
      <w:r>
        <w:t>Методические указания</w:t>
      </w:r>
      <w:r>
        <w:br/>
        <w:t xml:space="preserve"> по расчету размера платы за технологическое присоединение газоиспользующего оборудования к сетям газораспределения и (или) стандартизированных тарифных ставок, определяющих ее величину</w:t>
      </w:r>
    </w:p>
    <w:p w:rsidR="002537E7" w:rsidRDefault="002537E7" w:rsidP="002537E7">
      <w:pPr>
        <w:pStyle w:val="1"/>
      </w:pPr>
      <w:bookmarkStart w:id="1" w:name="sub_100"/>
      <w:r>
        <w:t>I. Общие положения</w:t>
      </w:r>
    </w:p>
    <w:bookmarkEnd w:id="1"/>
    <w:p w:rsidR="002537E7" w:rsidRDefault="002537E7" w:rsidP="002537E7"/>
    <w:p w:rsidR="002537E7" w:rsidRDefault="002537E7" w:rsidP="002537E7">
      <w:bookmarkStart w:id="2" w:name="sub_1004"/>
      <w:r>
        <w:t>4. Плата за технологическое присоединение рассчитывается в случае:</w:t>
      </w:r>
    </w:p>
    <w:p w:rsidR="002537E7" w:rsidRDefault="002537E7" w:rsidP="002537E7">
      <w:bookmarkStart w:id="3" w:name="sub_1041"/>
      <w:bookmarkEnd w:id="2"/>
      <w:r>
        <w:t>а) необходимости подключения (технологического присоединения) к сети газораспределения объекта капитального строительства;</w:t>
      </w:r>
    </w:p>
    <w:p w:rsidR="002537E7" w:rsidRDefault="002537E7" w:rsidP="002537E7">
      <w:bookmarkStart w:id="4" w:name="sub_1042"/>
      <w:bookmarkEnd w:id="3"/>
      <w:r>
        <w:t>б) увеличения объема потребления газа и (или) пропускной способности (для сети газораспределения) подключаемого объекта капитального строительства;</w:t>
      </w:r>
    </w:p>
    <w:p w:rsidR="002537E7" w:rsidRDefault="002537E7" w:rsidP="002537E7">
      <w:bookmarkStart w:id="5" w:name="sub_1043"/>
      <w:bookmarkEnd w:id="4"/>
      <w:r>
        <w:t>в) изменения схемы газоснабжения подключенного объекта капитального строительства.</w:t>
      </w:r>
    </w:p>
    <w:p w:rsidR="002537E7" w:rsidRDefault="002537E7" w:rsidP="002537E7">
      <w:bookmarkStart w:id="6" w:name="sub_1005"/>
      <w:bookmarkEnd w:id="5"/>
      <w:r>
        <w:t>5. Органами исполнительной власти субъектов Российской Федерации в области государственного регулирования тарифов на очередной календарный год устанавливаются:</w:t>
      </w:r>
    </w:p>
    <w:p w:rsidR="002537E7" w:rsidRDefault="002537E7" w:rsidP="002537E7">
      <w:bookmarkStart w:id="7" w:name="sub_1051"/>
      <w:bookmarkEnd w:id="6"/>
      <w:r>
        <w:t>а) плата за технологическое присоединение газоиспользующего оборудования с максимальным расходом газа, не превышающим 15 куб. метров в час, с учетом расхода газа ранее подключенного в данной точке подключения газоиспользующего оборудования Заявителя (для Заявителей, намеревающихся использовать газ для целей предпринимательской (коммерческой) деятельности), при условии, что расстояние от газоиспользующего оборудования до сети газораспределения газораспределительной организации, в которую подана заявка, с проектным рабочим давлением не более 0,3 МПа, измеряемое по прямой линии, составляет не более 200 метров и сами мероприятия предполагают строительство только газопроводов-вводов (без устройства пунктов редуцирования газа) в соответствии с утвержденной в установленном порядке схемой газоснабжения территории поселения (если имеется);</w:t>
      </w:r>
    </w:p>
    <w:p w:rsidR="002537E7" w:rsidRDefault="002537E7" w:rsidP="002537E7">
      <w:bookmarkStart w:id="8" w:name="sub_1052"/>
      <w:bookmarkEnd w:id="7"/>
      <w:r>
        <w:t xml:space="preserve">б) плата за технологическое присоединение газоиспользующего оборудования с максимальным расходом газа, не превышающим 5 куб. метров в час, с учетом расхода газа ранее подключенного в данной точке подключения газоиспользующего оборудования Заявителя (для прочих Заявителей, не намеревающихся использовать газ для целей предпринимательской (коммерческой) деятельности), при условии, что </w:t>
      </w:r>
      <w:r>
        <w:lastRenderedPageBreak/>
        <w:t>расстояние от газоиспользующего оборудования до сети газораспределения газораспределительной организации, в которую подана заявка, с проектным рабочим давлением не более 0,3 МПа, измеряемое по прямой линии, составляет не более 200 метров и сами мероприятия предполагают строительство только газопроводов-вводов (без устройства пунктов редуцирования газа) в соответствии с утвержденной в установленном порядке схемой газоснабжения территории поселения (если имеется);</w:t>
      </w:r>
    </w:p>
    <w:p w:rsidR="002537E7" w:rsidRDefault="002537E7" w:rsidP="002537E7">
      <w:bookmarkStart w:id="9" w:name="sub_1053"/>
      <w:bookmarkEnd w:id="8"/>
      <w:r>
        <w:t xml:space="preserve">в) стандартизированные тарифные ставки, используемые для определения величины платы за технологическое присоединение, для случаев технологического присоединения газоиспользующего оборудования с максимальным расходом газа 500 куб. метров газа в час и менее и (или) проектным рабочим давлением в присоединяемом газопроводе 0,6 МПа и менее, кроме случаев, указанных в </w:t>
      </w:r>
      <w:hyperlink w:anchor="sub_1051" w:history="1">
        <w:r>
          <w:rPr>
            <w:rStyle w:val="a3"/>
          </w:rPr>
          <w:t>подпунктах "а"</w:t>
        </w:r>
      </w:hyperlink>
      <w:r>
        <w:t xml:space="preserve"> и </w:t>
      </w:r>
      <w:hyperlink w:anchor="sub_1052" w:history="1">
        <w:r>
          <w:rPr>
            <w:rStyle w:val="a3"/>
          </w:rPr>
          <w:t>"б"</w:t>
        </w:r>
      </w:hyperlink>
      <w:r>
        <w:t xml:space="preserve"> настоящего пункта и установления платы за технологическое присоединение по индивидуальному проекту.</w:t>
      </w:r>
    </w:p>
    <w:p w:rsidR="002537E7" w:rsidRDefault="002537E7" w:rsidP="002537E7">
      <w:bookmarkStart w:id="10" w:name="sub_1011"/>
      <w:bookmarkEnd w:id="9"/>
    </w:p>
    <w:p w:rsidR="002537E7" w:rsidRDefault="002537E7" w:rsidP="002537E7"/>
    <w:p w:rsidR="002537E7" w:rsidRDefault="002537E7" w:rsidP="002537E7">
      <w:r>
        <w:t xml:space="preserve">11. Для расчета платы за технологическое присоединение для случаев, указанных в </w:t>
      </w:r>
      <w:hyperlink w:anchor="sub_1053" w:history="1">
        <w:r>
          <w:rPr>
            <w:rStyle w:val="a3"/>
          </w:rPr>
          <w:t>подпункте "в" пункта 5</w:t>
        </w:r>
      </w:hyperlink>
      <w:r>
        <w:t xml:space="preserve"> настоящих Методических указаний, утверждаются следующие стандартизированные тарифные ставки:</w:t>
      </w:r>
    </w:p>
    <w:bookmarkEnd w:id="10"/>
    <w:p w:rsidR="002537E7" w:rsidRDefault="002537E7" w:rsidP="002537E7">
      <w:r>
        <w:t>- стандартизированные тарифные ставки на покрытие расходов ГРО, связанных с разработкой проектной документации;</w:t>
      </w:r>
    </w:p>
    <w:p w:rsidR="002537E7" w:rsidRDefault="002537E7" w:rsidP="002537E7">
      <w:r>
        <w:t>- стандартизированные тарифные ставки на покрытие расходов ГРО, связанных со строительством (реконструкцией) газопроводов;</w:t>
      </w:r>
    </w:p>
    <w:p w:rsidR="002537E7" w:rsidRDefault="002537E7" w:rsidP="002537E7">
      <w:r>
        <w:t>- стандартизированные тарифные ставки на покрытие расходов ГРО, связанных со строительством (реконструкцией) газорегуляторных пунктов;</w:t>
      </w:r>
    </w:p>
    <w:p w:rsidR="002537E7" w:rsidRDefault="002537E7" w:rsidP="002537E7">
      <w:r>
        <w:t>- стандартизированная тарифная ставка на покрытие расходов ГРО, связанных со строительством (реконструкцией) станций катодной защиты;</w:t>
      </w:r>
    </w:p>
    <w:p w:rsidR="002537E7" w:rsidRDefault="002537E7" w:rsidP="002537E7">
      <w:r>
        <w:t>- стандартизированные тарифные ставки на покрытие расходов ГРО, связанных с проверкой выполнения Заявителем технических условий и осуществлением фактического подключения (технологического присоединения) объектов капитального строительства Заявителя к сети газораспределения и проведением пуска газа.</w:t>
      </w:r>
    </w:p>
    <w:p w:rsidR="002537E7" w:rsidRDefault="002537E7" w:rsidP="002537E7">
      <w:bookmarkStart w:id="11" w:name="sub_1012"/>
      <w:r>
        <w:t xml:space="preserve">12. Стандартизированные тарифные ставки на покрытие расходов ГРО на строительство (реконструкцию) стальных газопроводов </w:t>
      </w:r>
      <w:proofErr w:type="gramStart"/>
      <w:r>
        <w:t>протяженностью</w:t>
      </w:r>
      <w:proofErr w:type="gramEnd"/>
      <w:r>
        <w:t xml:space="preserve"> строящейся (реконструируемой) сети газораспределения, измеряемой по прямой линии от границы земельного участка до сети газораспределения ГРО, более 150 метров дифференцируются:</w:t>
      </w:r>
    </w:p>
    <w:bookmarkEnd w:id="11"/>
    <w:p w:rsidR="002537E7" w:rsidRDefault="002537E7" w:rsidP="002537E7">
      <w:r>
        <w:t>по диапазонам диаметров строящихся газопроводов: 158 мм и менее; 159-218 мм; 219-272 мм; 273-324 мм; 325-425 мм; 426-529 мм; 530 мм и выше;</w:t>
      </w:r>
    </w:p>
    <w:p w:rsidR="002537E7" w:rsidRDefault="002537E7" w:rsidP="002537E7">
      <w:r>
        <w:t>по типу прокладки: подземная или надземная (наземная).</w:t>
      </w:r>
    </w:p>
    <w:p w:rsidR="002537E7" w:rsidRDefault="002537E7" w:rsidP="002537E7">
      <w:r>
        <w:t xml:space="preserve">Стандартизированные тарифные ставки на покрытие расходов ГРО на строительство (реконструкцию) полиэтиленовых газопроводов </w:t>
      </w:r>
      <w:proofErr w:type="gramStart"/>
      <w:r>
        <w:t>протяженностью</w:t>
      </w:r>
      <w:proofErr w:type="gramEnd"/>
      <w:r>
        <w:t xml:space="preserve"> строящейся (реконструируемой) сети газораспределения, измеряемой по прямой линии от границы земельного участка до сети газораспределения ГРО, более 150 метров дифференцируются по диапазонам диаметров строящихся газопроводов, мм: 109 мм и менее; 110-159 мм; 160-224 мм; 225-314 мм; 315-399 мм; 400 мм и выше.</w:t>
      </w:r>
    </w:p>
    <w:p w:rsidR="002537E7" w:rsidRDefault="002537E7" w:rsidP="002537E7">
      <w:r>
        <w:lastRenderedPageBreak/>
        <w:t>Стандартизированные тарифные ставки на покрытие расходов ГРО на строительство (реконструкцию) газорегуляторных пунктов дифференцируются по диапазонам максимального часового расхода газа: до 40 куб. метров в час; 40-99 куб. метров в час; 100-399 куб. метров в час; 400-999 куб. метров в час; 1000-1999 куб. метров в час; 2000-2999 куб. метров в час; 3000-3999 куб. метров в час; 4000-4999 куб. метров в час; 5000-9999 куб. метров в час; 10000-19999 куб. метров в час; 20000-29999 куб. метров в час; 30000 куб. метров в час и выше.</w:t>
      </w:r>
    </w:p>
    <w:p w:rsidR="002537E7" w:rsidRDefault="002537E7" w:rsidP="002537E7">
      <w:r>
        <w:t>Стандартизированные тарифные ставки на покрытие расходов ГРО на проверку выполнения Заявителем технических условий и осуществление фактического подключения (технологического присоединения) объектов капитального строительства Заявителя к сети газораспределения и проведение пуска газа дифференцируются:</w:t>
      </w:r>
    </w:p>
    <w:p w:rsidR="002537E7" w:rsidRDefault="002537E7" w:rsidP="002537E7">
      <w:r>
        <w:t>по диапазонам диаметров строящихся стальных газопроводов: 158 мм и менее; 159-218 мм; 219-272 мм; 273-324 мм; 325-425 мм; 426-529 мм; 530 мм и выше;</w:t>
      </w:r>
    </w:p>
    <w:p w:rsidR="002537E7" w:rsidRDefault="002537E7" w:rsidP="002537E7">
      <w:r>
        <w:t>по диапазонам диаметров строящихся полиэтиленовых газопроводов, мм: 109 мм и менее; 110-159 мм; 160-224 мм; 225-314 мм; 315-399 мм; 400 мм и выше.</w:t>
      </w:r>
    </w:p>
    <w:p w:rsidR="002537E7" w:rsidRDefault="002537E7" w:rsidP="002537E7">
      <w:bookmarkStart w:id="12" w:name="sub_1014"/>
    </w:p>
    <w:p w:rsidR="002537E7" w:rsidRDefault="002537E7" w:rsidP="002537E7">
      <w:r>
        <w:t xml:space="preserve">14. ГРО в случаях, указанных в </w:t>
      </w:r>
      <w:hyperlink w:anchor="sub_1053" w:history="1">
        <w:r>
          <w:rPr>
            <w:rStyle w:val="a3"/>
          </w:rPr>
          <w:t>подпункте "в" пункта 5</w:t>
        </w:r>
      </w:hyperlink>
      <w:r>
        <w:t xml:space="preserve"> настоящих Методических указаний, самостоятельно рассчитывает размер платы за технологическое присоединение на основе утвержденных стандартизированных тарифных ставок в порядке, определенном </w:t>
      </w:r>
      <w:hyperlink w:anchor="sub_400" w:history="1">
        <w:r>
          <w:rPr>
            <w:rStyle w:val="a3"/>
          </w:rPr>
          <w:t>Главой IV</w:t>
        </w:r>
      </w:hyperlink>
      <w:r>
        <w:t xml:space="preserve"> и с учетом положений </w:t>
      </w:r>
      <w:hyperlink w:anchor="sub_1016" w:history="1">
        <w:r>
          <w:rPr>
            <w:rStyle w:val="a3"/>
          </w:rPr>
          <w:t>пункта 16</w:t>
        </w:r>
      </w:hyperlink>
      <w:r>
        <w:t xml:space="preserve"> настоящих Методических указаний.</w:t>
      </w:r>
    </w:p>
    <w:p w:rsidR="002537E7" w:rsidRDefault="002537E7" w:rsidP="002537E7">
      <w:bookmarkStart w:id="13" w:name="sub_1016"/>
      <w:bookmarkEnd w:id="12"/>
    </w:p>
    <w:p w:rsidR="002537E7" w:rsidRDefault="002537E7" w:rsidP="002537E7">
      <w:r>
        <w:t>16. Плата за технологическое присоединение рассчитывается с учетом налога на добавленную стоимость для случаев, когда Заявителями выступают физические лица (за исключением случаев, когда ГРО используют упрощенную систему налогообложения), для других случаев - без учета налога на добавленную стоимость. Стандартизированные тарифные ставки рассчитываются без учета налога на добавленную стоимость.</w:t>
      </w:r>
    </w:p>
    <w:bookmarkEnd w:id="13"/>
    <w:p w:rsidR="002537E7" w:rsidRDefault="002537E7" w:rsidP="002537E7"/>
    <w:p w:rsidR="002537E7" w:rsidRDefault="002537E7" w:rsidP="002537E7"/>
    <w:p w:rsidR="002537E7" w:rsidRDefault="002537E7" w:rsidP="002537E7">
      <w:pPr>
        <w:pStyle w:val="1"/>
      </w:pPr>
      <w:bookmarkStart w:id="14" w:name="sub_300"/>
      <w:r>
        <w:t>III. Расчет стандартизированных тарифных ставок</w:t>
      </w:r>
    </w:p>
    <w:bookmarkEnd w:id="14"/>
    <w:p w:rsidR="002537E7" w:rsidRDefault="002537E7" w:rsidP="002537E7"/>
    <w:p w:rsidR="002537E7" w:rsidRDefault="002537E7" w:rsidP="002537E7">
      <w:bookmarkStart w:id="15" w:name="sub_1019"/>
      <w:r>
        <w:t>19. Стандартизированная тарифная ставка на покрытие расходов ГРО, связанных с разработкой проектной документации,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определяется по следующей формуле:</w:t>
      </w:r>
    </w:p>
    <w:bookmarkEnd w:id="15"/>
    <w:p w:rsidR="002537E7" w:rsidRDefault="002537E7" w:rsidP="002537E7"/>
    <w:p w:rsidR="002537E7" w:rsidRDefault="002537E7" w:rsidP="002537E7">
      <w:pPr>
        <w:ind w:firstLine="698"/>
        <w:jc w:val="center"/>
      </w:pPr>
      <w:bookmarkStart w:id="16" w:name="sub_666"/>
      <w:r>
        <w:rPr>
          <w:noProof/>
        </w:rPr>
        <w:drawing>
          <wp:inline distT="0" distB="0" distL="0" distR="0">
            <wp:extent cx="1868805" cy="79375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68805" cy="793750"/>
                    </a:xfrm>
                    <a:prstGeom prst="rect">
                      <a:avLst/>
                    </a:prstGeom>
                    <a:noFill/>
                    <a:ln>
                      <a:noFill/>
                    </a:ln>
                  </pic:spPr>
                </pic:pic>
              </a:graphicData>
            </a:graphic>
          </wp:inline>
        </w:drawing>
      </w:r>
      <w:r>
        <w:t xml:space="preserve"> (руб.) (6)</w:t>
      </w:r>
    </w:p>
    <w:bookmarkEnd w:id="16"/>
    <w:p w:rsidR="002537E7" w:rsidRDefault="002537E7" w:rsidP="002537E7"/>
    <w:p w:rsidR="002537E7" w:rsidRDefault="002537E7" w:rsidP="002537E7">
      <w:r>
        <w:lastRenderedPageBreak/>
        <w:t>где:</w:t>
      </w:r>
    </w:p>
    <w:p w:rsidR="002537E7" w:rsidRDefault="002537E7" w:rsidP="002537E7">
      <w:r>
        <w:rPr>
          <w:noProof/>
        </w:rPr>
        <w:drawing>
          <wp:inline distT="0" distB="0" distL="0" distR="0">
            <wp:extent cx="341630" cy="271145"/>
            <wp:effectExtent l="0" t="0" r="127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1630" cy="271145"/>
                    </a:xfrm>
                    <a:prstGeom prst="rect">
                      <a:avLst/>
                    </a:prstGeom>
                    <a:noFill/>
                    <a:ln>
                      <a:noFill/>
                    </a:ln>
                  </pic:spPr>
                </pic:pic>
              </a:graphicData>
            </a:graphic>
          </wp:inline>
        </w:drawing>
      </w:r>
      <w:r>
        <w:t xml:space="preserve"> - плановые суммарные расходы ГРО, связанные с разработкой проектной документации, для случаев применения стандартизированных тарифных ставок,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на очередной календарный год;</w:t>
      </w:r>
    </w:p>
    <w:p w:rsidR="002537E7" w:rsidRDefault="002537E7" w:rsidP="002537E7">
      <w:r>
        <w:rPr>
          <w:noProof/>
        </w:rPr>
        <w:drawing>
          <wp:inline distT="0" distB="0" distL="0" distR="0">
            <wp:extent cx="381635" cy="271145"/>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635" cy="271145"/>
                    </a:xfrm>
                    <a:prstGeom prst="rect">
                      <a:avLst/>
                    </a:prstGeom>
                    <a:noFill/>
                    <a:ln>
                      <a:noFill/>
                    </a:ln>
                  </pic:spPr>
                </pic:pic>
              </a:graphicData>
            </a:graphic>
          </wp:inline>
        </w:drawing>
      </w:r>
      <w:r>
        <w:t xml:space="preserve"> - плановое количество технологических подключений для случаев применения стандартизированных тарифных ставок,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на очередной календарный год.</w:t>
      </w:r>
    </w:p>
    <w:p w:rsidR="002537E7" w:rsidRDefault="002537E7" w:rsidP="002537E7">
      <w:r>
        <w:t xml:space="preserve">В случае невозможности определения плановых показателей, использующихся в расчете по </w:t>
      </w:r>
      <w:hyperlink w:anchor="sub_666" w:history="1">
        <w:r>
          <w:rPr>
            <w:rStyle w:val="a3"/>
          </w:rPr>
          <w:t>формуле (6)</w:t>
        </w:r>
      </w:hyperlink>
      <w:r>
        <w:t>, стандартизированная тарифная ставка на покрытие расходов ГРО на разработку проектной документации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определяется как плановая средняя величина расходов ГРО на разработку проектной документации для случаев применения стандартизированных тарифных ставок,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w:t>
      </w:r>
    </w:p>
    <w:p w:rsidR="002537E7" w:rsidRDefault="002537E7" w:rsidP="002537E7">
      <w:bookmarkStart w:id="17" w:name="sub_1020"/>
      <w:r>
        <w:t>20. Стандартизированная тарифная ставка на покрытие расходов ГРО, связанных с разработкой проектной документации,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150 метров и менее, определяется по следующей формуле:</w:t>
      </w:r>
    </w:p>
    <w:bookmarkEnd w:id="17"/>
    <w:p w:rsidR="002537E7" w:rsidRDefault="002537E7" w:rsidP="002537E7"/>
    <w:p w:rsidR="002537E7" w:rsidRDefault="002537E7" w:rsidP="002537E7">
      <w:pPr>
        <w:ind w:firstLine="698"/>
        <w:jc w:val="center"/>
      </w:pPr>
      <w:bookmarkStart w:id="18" w:name="sub_777"/>
      <w:r>
        <w:rPr>
          <w:noProof/>
        </w:rPr>
        <w:drawing>
          <wp:inline distT="0" distB="0" distL="0" distR="0">
            <wp:extent cx="1959610" cy="82423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9610" cy="824230"/>
                    </a:xfrm>
                    <a:prstGeom prst="rect">
                      <a:avLst/>
                    </a:prstGeom>
                    <a:noFill/>
                    <a:ln>
                      <a:noFill/>
                    </a:ln>
                  </pic:spPr>
                </pic:pic>
              </a:graphicData>
            </a:graphic>
          </wp:inline>
        </w:drawing>
      </w:r>
      <w:r>
        <w:t xml:space="preserve"> </w:t>
      </w:r>
      <w:r>
        <w:rPr>
          <w:noProof/>
        </w:rPr>
        <w:drawing>
          <wp:inline distT="0" distB="0" distL="0" distR="0">
            <wp:extent cx="1216025" cy="311785"/>
            <wp:effectExtent l="0" t="0" r="317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6025" cy="311785"/>
                    </a:xfrm>
                    <a:prstGeom prst="rect">
                      <a:avLst/>
                    </a:prstGeom>
                    <a:noFill/>
                    <a:ln>
                      <a:noFill/>
                    </a:ln>
                  </pic:spPr>
                </pic:pic>
              </a:graphicData>
            </a:graphic>
          </wp:inline>
        </w:drawing>
      </w:r>
      <w:r>
        <w:t xml:space="preserve"> (7)</w:t>
      </w:r>
    </w:p>
    <w:bookmarkEnd w:id="18"/>
    <w:p w:rsidR="002537E7" w:rsidRDefault="002537E7" w:rsidP="002537E7"/>
    <w:p w:rsidR="002537E7" w:rsidRDefault="002537E7" w:rsidP="002537E7">
      <w:r>
        <w:t>где:</w:t>
      </w:r>
    </w:p>
    <w:p w:rsidR="002537E7" w:rsidRDefault="002537E7" w:rsidP="002537E7">
      <w:r>
        <w:rPr>
          <w:noProof/>
        </w:rPr>
        <w:drawing>
          <wp:inline distT="0" distB="0" distL="0" distR="0">
            <wp:extent cx="492125" cy="47244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125" cy="472440"/>
                    </a:xfrm>
                    <a:prstGeom prst="rect">
                      <a:avLst/>
                    </a:prstGeom>
                    <a:noFill/>
                    <a:ln>
                      <a:noFill/>
                    </a:ln>
                  </pic:spPr>
                </pic:pic>
              </a:graphicData>
            </a:graphic>
          </wp:inline>
        </w:drawing>
      </w:r>
      <w:r>
        <w:t xml:space="preserve"> - плановые суммарные расходы ГРО, связанные с разработкой проектной документации, для случаев применения стандартизированных тарифных ставок,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150 метров и менее, на очередной календарный год;</w:t>
      </w:r>
    </w:p>
    <w:p w:rsidR="002537E7" w:rsidRDefault="002537E7" w:rsidP="002537E7">
      <w:r>
        <w:rPr>
          <w:noProof/>
        </w:rPr>
        <w:drawing>
          <wp:inline distT="0" distB="0" distL="0" distR="0">
            <wp:extent cx="391795" cy="29146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795" cy="291465"/>
                    </a:xfrm>
                    <a:prstGeom prst="rect">
                      <a:avLst/>
                    </a:prstGeom>
                    <a:noFill/>
                    <a:ln>
                      <a:noFill/>
                    </a:ln>
                  </pic:spPr>
                </pic:pic>
              </a:graphicData>
            </a:graphic>
          </wp:inline>
        </w:drawing>
      </w:r>
      <w:r>
        <w:t xml:space="preserve"> - плановый суммарный для случаев применения стандартизированных тарифных ставок максимальный часовой расход газа газоиспользующего оборудования Заявителей, подключаемого к строящимся (реконструируемым) газопроводам всех диаметров, материалов труб и типов прокладки для случаев, когда протяженность строящейся (реконструируемой) сети газораспределения, измеряемая по </w:t>
      </w:r>
      <w:r>
        <w:lastRenderedPageBreak/>
        <w:t>прямой линии от границы земельного участка до сети газораспределения ГРО, составляет 150 метров и менее, на очередной календарный год.</w:t>
      </w:r>
    </w:p>
    <w:p w:rsidR="002537E7" w:rsidRDefault="002537E7" w:rsidP="002537E7">
      <w:bookmarkStart w:id="19" w:name="sub_1021"/>
      <w:r>
        <w:t>21. Стандартизированная тарифная ставка на покрытие расходов ГРО, связанных со строительством (реконструкцией) стального газопровода i-того диапазона диаметров и j-того типа прокладки, используемая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определяются по следующей формуле:</w:t>
      </w:r>
    </w:p>
    <w:bookmarkEnd w:id="19"/>
    <w:p w:rsidR="002537E7" w:rsidRDefault="002537E7" w:rsidP="002537E7"/>
    <w:p w:rsidR="002537E7" w:rsidRDefault="002537E7" w:rsidP="002537E7">
      <w:pPr>
        <w:ind w:firstLine="698"/>
        <w:jc w:val="center"/>
      </w:pPr>
      <w:bookmarkStart w:id="20" w:name="sub_888"/>
      <w:r>
        <w:rPr>
          <w:noProof/>
        </w:rPr>
        <w:drawing>
          <wp:inline distT="0" distB="0" distL="0" distR="0">
            <wp:extent cx="1547495" cy="7937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7495" cy="793750"/>
                    </a:xfrm>
                    <a:prstGeom prst="rect">
                      <a:avLst/>
                    </a:prstGeom>
                    <a:noFill/>
                    <a:ln>
                      <a:noFill/>
                    </a:ln>
                  </pic:spPr>
                </pic:pic>
              </a:graphicData>
            </a:graphic>
          </wp:inline>
        </w:drawing>
      </w:r>
      <w:r>
        <w:t xml:space="preserve"> (руб.) (8)</w:t>
      </w:r>
    </w:p>
    <w:bookmarkEnd w:id="20"/>
    <w:p w:rsidR="002537E7" w:rsidRDefault="002537E7" w:rsidP="002537E7"/>
    <w:p w:rsidR="002537E7" w:rsidRDefault="002537E7" w:rsidP="002537E7">
      <w:r>
        <w:t>где:</w:t>
      </w:r>
    </w:p>
    <w:p w:rsidR="002537E7" w:rsidRDefault="002537E7" w:rsidP="002537E7">
      <w:r>
        <w:rPr>
          <w:noProof/>
        </w:rPr>
        <w:drawing>
          <wp:inline distT="0" distB="0" distL="0" distR="0">
            <wp:extent cx="210820" cy="27114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820" cy="271145"/>
                    </a:xfrm>
                    <a:prstGeom prst="rect">
                      <a:avLst/>
                    </a:prstGeom>
                    <a:noFill/>
                    <a:ln>
                      <a:noFill/>
                    </a:ln>
                  </pic:spPr>
                </pic:pic>
              </a:graphicData>
            </a:graphic>
          </wp:inline>
        </w:drawing>
      </w:r>
      <w:r>
        <w:t xml:space="preserve"> - расходы, связанные со строительством (реконструкцией) 1 км стального газопровода i-того диапазона диаметров и j-того типа прокладки, включая сметную стоимость строительства (реконструкции), в территориальных единичных расценках 2001 года, определяемых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 (в случае отсутствия определенных территориальных единичных расценок 2001 года здесь и далее используются федеральные единичные расценки 2001 года).</w:t>
      </w:r>
    </w:p>
    <w:p w:rsidR="002537E7" w:rsidRDefault="002537E7" w:rsidP="002537E7">
      <w:bookmarkStart w:id="21" w:name="sub_1022"/>
      <w:r>
        <w:t>22. Стандартизированная тарифная ставка на покрытие расходов ГРО, связанных со строительством (реконструкцией) полиэтиленового газопровода k-того диапазона диаметров, используемая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определяются по следующей формуле:</w:t>
      </w:r>
    </w:p>
    <w:bookmarkEnd w:id="21"/>
    <w:p w:rsidR="002537E7" w:rsidRDefault="002537E7" w:rsidP="002537E7"/>
    <w:p w:rsidR="002537E7" w:rsidRDefault="002537E7" w:rsidP="002537E7">
      <w:pPr>
        <w:ind w:firstLine="698"/>
        <w:jc w:val="center"/>
      </w:pPr>
      <w:bookmarkStart w:id="22" w:name="sub_999"/>
      <w:r>
        <w:rPr>
          <w:noProof/>
        </w:rPr>
        <w:drawing>
          <wp:inline distT="0" distB="0" distL="0" distR="0">
            <wp:extent cx="1537335" cy="7937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37335" cy="793750"/>
                    </a:xfrm>
                    <a:prstGeom prst="rect">
                      <a:avLst/>
                    </a:prstGeom>
                    <a:noFill/>
                    <a:ln>
                      <a:noFill/>
                    </a:ln>
                  </pic:spPr>
                </pic:pic>
              </a:graphicData>
            </a:graphic>
          </wp:inline>
        </w:drawing>
      </w:r>
      <w:r>
        <w:t xml:space="preserve"> (руб.) (9)</w:t>
      </w:r>
    </w:p>
    <w:bookmarkEnd w:id="22"/>
    <w:p w:rsidR="002537E7" w:rsidRDefault="002537E7" w:rsidP="002537E7"/>
    <w:p w:rsidR="002537E7" w:rsidRDefault="002537E7" w:rsidP="002537E7">
      <w:r>
        <w:t>где:</w:t>
      </w:r>
    </w:p>
    <w:p w:rsidR="002537E7" w:rsidRDefault="002537E7" w:rsidP="002537E7">
      <w:r>
        <w:rPr>
          <w:noProof/>
        </w:rPr>
        <w:drawing>
          <wp:inline distT="0" distB="0" distL="0" distR="0">
            <wp:extent cx="200660" cy="27114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660" cy="271145"/>
                    </a:xfrm>
                    <a:prstGeom prst="rect">
                      <a:avLst/>
                    </a:prstGeom>
                    <a:noFill/>
                    <a:ln>
                      <a:noFill/>
                    </a:ln>
                  </pic:spPr>
                </pic:pic>
              </a:graphicData>
            </a:graphic>
          </wp:inline>
        </w:drawing>
      </w:r>
      <w:r>
        <w:t xml:space="preserve"> - расходы, связанные со строительством (реконструкцией) 1 км полиэтиленового газопровода k-того диапазона диаметров, включая сметную стоимость строительства (реконструкции), в территориальных единичных расценках 2001 года, определяемых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bookmarkStart w:id="23" w:name="sub_1023"/>
      <w:r>
        <w:lastRenderedPageBreak/>
        <w:t>23. Стандартизированная тарифная ставка на покрытие расходов ГРО, связанных со строительством (реконструкцией) газопроводов всех диаметров, материалов труб и типов прокладки,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150 метров и менее, рассчитываются по следующей формуле:</w:t>
      </w:r>
    </w:p>
    <w:bookmarkEnd w:id="23"/>
    <w:p w:rsidR="002537E7" w:rsidRDefault="002537E7" w:rsidP="002537E7"/>
    <w:p w:rsidR="002537E7" w:rsidRDefault="002537E7" w:rsidP="002537E7">
      <w:pPr>
        <w:ind w:firstLine="698"/>
        <w:jc w:val="center"/>
      </w:pPr>
      <w:bookmarkStart w:id="24" w:name="sub_101010"/>
      <w:r>
        <w:rPr>
          <w:noProof/>
        </w:rPr>
        <w:drawing>
          <wp:inline distT="0" distB="0" distL="0" distR="0">
            <wp:extent cx="1889125" cy="82423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89125" cy="824230"/>
                    </a:xfrm>
                    <a:prstGeom prst="rect">
                      <a:avLst/>
                    </a:prstGeom>
                    <a:noFill/>
                    <a:ln>
                      <a:noFill/>
                    </a:ln>
                  </pic:spPr>
                </pic:pic>
              </a:graphicData>
            </a:graphic>
          </wp:inline>
        </w:drawing>
      </w:r>
      <w:r>
        <w:t xml:space="preserve"> </w:t>
      </w:r>
      <w:r>
        <w:rPr>
          <w:noProof/>
        </w:rPr>
        <w:drawing>
          <wp:inline distT="0" distB="0" distL="0" distR="0">
            <wp:extent cx="1216025" cy="31178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6025" cy="311785"/>
                    </a:xfrm>
                    <a:prstGeom prst="rect">
                      <a:avLst/>
                    </a:prstGeom>
                    <a:noFill/>
                    <a:ln>
                      <a:noFill/>
                    </a:ln>
                  </pic:spPr>
                </pic:pic>
              </a:graphicData>
            </a:graphic>
          </wp:inline>
        </w:drawing>
      </w:r>
      <w:r>
        <w:t xml:space="preserve"> (10)</w:t>
      </w:r>
    </w:p>
    <w:bookmarkEnd w:id="24"/>
    <w:p w:rsidR="002537E7" w:rsidRDefault="002537E7" w:rsidP="002537E7"/>
    <w:p w:rsidR="002537E7" w:rsidRDefault="002537E7" w:rsidP="002537E7">
      <w:r>
        <w:t>где:</w:t>
      </w:r>
    </w:p>
    <w:p w:rsidR="002537E7" w:rsidRDefault="002537E7" w:rsidP="002537E7">
      <w:r>
        <w:rPr>
          <w:noProof/>
        </w:rPr>
        <w:drawing>
          <wp:inline distT="0" distB="0" distL="0" distR="0">
            <wp:extent cx="371475" cy="29146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1475" cy="291465"/>
                    </a:xfrm>
                    <a:prstGeom prst="rect">
                      <a:avLst/>
                    </a:prstGeom>
                    <a:noFill/>
                    <a:ln>
                      <a:noFill/>
                    </a:ln>
                  </pic:spPr>
                </pic:pic>
              </a:graphicData>
            </a:graphic>
          </wp:inline>
        </w:drawing>
      </w:r>
      <w:r>
        <w:t xml:space="preserve"> - плановые суммарные расходы ГРО, связанные со строительством (реконструкцией) газопроводов всех диаметров, материалов труб и типов прокладки для случаев применения стандартизированных тарифных ставок,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150 метров и менее, на очередной календарный год в территориальных единичных расценках 2001 года, определяемых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r>
        <w:t>Плановые суммарные расходы ГРО на строительство (реконструкцию) газопроводов всех диаметров, материалов труб и типов прокладки для случаев применения стандартизированных тарифных ставок,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150 метров и менее, на очередной календарный год определяются по следующей формуле:</w:t>
      </w:r>
    </w:p>
    <w:p w:rsidR="002537E7" w:rsidRDefault="002537E7" w:rsidP="002537E7"/>
    <w:p w:rsidR="002537E7" w:rsidRDefault="002537E7" w:rsidP="002537E7">
      <w:pPr>
        <w:ind w:firstLine="698"/>
        <w:jc w:val="center"/>
      </w:pPr>
      <w:bookmarkStart w:id="25" w:name="sub_111111"/>
      <w:r>
        <w:rPr>
          <w:noProof/>
        </w:rPr>
        <w:drawing>
          <wp:inline distT="0" distB="0" distL="0" distR="0">
            <wp:extent cx="3888740" cy="9144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88740" cy="914400"/>
                    </a:xfrm>
                    <a:prstGeom prst="rect">
                      <a:avLst/>
                    </a:prstGeom>
                    <a:noFill/>
                    <a:ln>
                      <a:noFill/>
                    </a:ln>
                  </pic:spPr>
                </pic:pic>
              </a:graphicData>
            </a:graphic>
          </wp:inline>
        </w:drawing>
      </w:r>
      <w:r>
        <w:t xml:space="preserve"> (руб.) (11)</w:t>
      </w:r>
    </w:p>
    <w:bookmarkEnd w:id="25"/>
    <w:p w:rsidR="002537E7" w:rsidRDefault="002537E7" w:rsidP="002537E7"/>
    <w:p w:rsidR="002537E7" w:rsidRDefault="002537E7" w:rsidP="002537E7">
      <w:r>
        <w:t>где:</w:t>
      </w:r>
    </w:p>
    <w:p w:rsidR="002537E7" w:rsidRDefault="002537E7" w:rsidP="002537E7">
      <w:r>
        <w:rPr>
          <w:noProof/>
        </w:rPr>
        <w:drawing>
          <wp:inline distT="0" distB="0" distL="0" distR="0">
            <wp:extent cx="492125" cy="47244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2125" cy="472440"/>
                    </a:xfrm>
                    <a:prstGeom prst="rect">
                      <a:avLst/>
                    </a:prstGeom>
                    <a:noFill/>
                    <a:ln>
                      <a:noFill/>
                    </a:ln>
                  </pic:spPr>
                </pic:pic>
              </a:graphicData>
            </a:graphic>
          </wp:inline>
        </w:drawing>
      </w:r>
      <w:r>
        <w:t xml:space="preserve"> - расходы, связанные со строительством (реконструкцией) стального газопровода i-того диапазона диаметров и j-типа способа прокладки средней плановой протяженности в рассматриваемом диапазоне протяженности газопроводов, включая сметную стоимость строительства (реконструкции), в территориальных единичных расценках 2001 года, определяемых органом исполнительной власти субъекта </w:t>
      </w:r>
      <w:r>
        <w:lastRenderedPageBreak/>
        <w:t>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r>
        <w:rPr>
          <w:noProof/>
        </w:rPr>
        <w:drawing>
          <wp:inline distT="0" distB="0" distL="0" distR="0">
            <wp:extent cx="522605" cy="47244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2605" cy="472440"/>
                    </a:xfrm>
                    <a:prstGeom prst="rect">
                      <a:avLst/>
                    </a:prstGeom>
                    <a:noFill/>
                    <a:ln>
                      <a:noFill/>
                    </a:ln>
                  </pic:spPr>
                </pic:pic>
              </a:graphicData>
            </a:graphic>
          </wp:inline>
        </w:drawing>
      </w:r>
      <w:r>
        <w:t xml:space="preserve"> - плановое количество случаев строительства (реконструкции) стального газопровода i-того диапазона диаметров и j-типа способа прокладки в рассматриваемом диапазоне протяженности газопроводов в течение очередного календарного года, для которых применяются стандартизированные тарифные ставки;</w:t>
      </w:r>
    </w:p>
    <w:p w:rsidR="002537E7" w:rsidRDefault="002537E7" w:rsidP="002537E7">
      <w:r>
        <w:rPr>
          <w:noProof/>
        </w:rPr>
        <w:drawing>
          <wp:inline distT="0" distB="0" distL="0" distR="0">
            <wp:extent cx="492125" cy="47244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2125" cy="472440"/>
                    </a:xfrm>
                    <a:prstGeom prst="rect">
                      <a:avLst/>
                    </a:prstGeom>
                    <a:noFill/>
                    <a:ln>
                      <a:noFill/>
                    </a:ln>
                  </pic:spPr>
                </pic:pic>
              </a:graphicData>
            </a:graphic>
          </wp:inline>
        </w:drawing>
      </w:r>
      <w:r>
        <w:t xml:space="preserve"> - расходы, связанные со строительством (реконструкцией) полиэтиленового газопровода k-того диапазона диаметров средней плановой протяженности в рассматриваемом диапазоне протяженности газопроводов, включая сметную стоимость строительства (реконструкции), в территориальных единичных расценках 2001 года, определяемых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r>
        <w:rPr>
          <w:noProof/>
        </w:rPr>
        <w:drawing>
          <wp:inline distT="0" distB="0" distL="0" distR="0">
            <wp:extent cx="522605" cy="47244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2605" cy="472440"/>
                    </a:xfrm>
                    <a:prstGeom prst="rect">
                      <a:avLst/>
                    </a:prstGeom>
                    <a:noFill/>
                    <a:ln>
                      <a:noFill/>
                    </a:ln>
                  </pic:spPr>
                </pic:pic>
              </a:graphicData>
            </a:graphic>
          </wp:inline>
        </w:drawing>
      </w:r>
      <w:r>
        <w:t xml:space="preserve"> - плановое количество случаев строительства (реконструкции) полиэтиленового газопровода k-того диапазона диаметров в рассматриваемом диапазоне протяженности газопроводов в течение очередного календарного года, для которых применяются стандартизированные тарифные ставки.</w:t>
      </w:r>
    </w:p>
    <w:p w:rsidR="002537E7" w:rsidRDefault="002537E7" w:rsidP="002537E7">
      <w:bookmarkStart w:id="26" w:name="sub_1024"/>
      <w:r>
        <w:t>24. Стандартизированные тарифные ставки на покрытие расходов ГРО, связанных со строительством (реконструкцией) газорегуляторных пунктов n-</w:t>
      </w:r>
      <w:proofErr w:type="spellStart"/>
      <w:r>
        <w:t>ного</w:t>
      </w:r>
      <w:proofErr w:type="spellEnd"/>
      <w:r>
        <w:t xml:space="preserve"> диапазона максимального часового расхода газа, рассчитываются по следующей формуле:</w:t>
      </w:r>
    </w:p>
    <w:bookmarkEnd w:id="26"/>
    <w:p w:rsidR="002537E7" w:rsidRDefault="002537E7" w:rsidP="002537E7"/>
    <w:p w:rsidR="002537E7" w:rsidRDefault="002537E7" w:rsidP="002537E7">
      <w:pPr>
        <w:ind w:firstLine="698"/>
        <w:jc w:val="center"/>
      </w:pPr>
      <w:bookmarkStart w:id="27" w:name="sub_121212"/>
      <w:r>
        <w:rPr>
          <w:noProof/>
        </w:rPr>
        <w:drawing>
          <wp:inline distT="0" distB="0" distL="0" distR="0">
            <wp:extent cx="1798955" cy="82423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98955" cy="824230"/>
                    </a:xfrm>
                    <a:prstGeom prst="rect">
                      <a:avLst/>
                    </a:prstGeom>
                    <a:noFill/>
                    <a:ln>
                      <a:noFill/>
                    </a:ln>
                  </pic:spPr>
                </pic:pic>
              </a:graphicData>
            </a:graphic>
          </wp:inline>
        </w:drawing>
      </w:r>
      <w:r>
        <w:t xml:space="preserve"> </w:t>
      </w:r>
      <w:r>
        <w:rPr>
          <w:noProof/>
        </w:rPr>
        <w:drawing>
          <wp:inline distT="0" distB="0" distL="0" distR="0">
            <wp:extent cx="1216025" cy="311785"/>
            <wp:effectExtent l="0" t="0" r="317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16025" cy="311785"/>
                    </a:xfrm>
                    <a:prstGeom prst="rect">
                      <a:avLst/>
                    </a:prstGeom>
                    <a:noFill/>
                    <a:ln>
                      <a:noFill/>
                    </a:ln>
                  </pic:spPr>
                </pic:pic>
              </a:graphicData>
            </a:graphic>
          </wp:inline>
        </w:drawing>
      </w:r>
      <w:r>
        <w:t xml:space="preserve"> (12)</w:t>
      </w:r>
    </w:p>
    <w:bookmarkEnd w:id="27"/>
    <w:p w:rsidR="002537E7" w:rsidRDefault="002537E7" w:rsidP="002537E7"/>
    <w:p w:rsidR="002537E7" w:rsidRDefault="002537E7" w:rsidP="002537E7">
      <w:r>
        <w:t>где:</w:t>
      </w:r>
    </w:p>
    <w:p w:rsidR="002537E7" w:rsidRDefault="002537E7" w:rsidP="002537E7">
      <w:r>
        <w:rPr>
          <w:noProof/>
        </w:rPr>
        <w:drawing>
          <wp:inline distT="0" distB="0" distL="0" distR="0">
            <wp:extent cx="210820" cy="27114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0820" cy="271145"/>
                    </a:xfrm>
                    <a:prstGeom prst="rect">
                      <a:avLst/>
                    </a:prstGeom>
                    <a:noFill/>
                    <a:ln>
                      <a:noFill/>
                    </a:ln>
                  </pic:spPr>
                </pic:pic>
              </a:graphicData>
            </a:graphic>
          </wp:inline>
        </w:drawing>
      </w:r>
      <w:r>
        <w:t xml:space="preserve"> - плановые суммарные расходы на очередной календарный год, связанные со строительством (реконструкцией) газорегуляторных пунктов n-</w:t>
      </w:r>
      <w:proofErr w:type="spellStart"/>
      <w:r>
        <w:t>ного</w:t>
      </w:r>
      <w:proofErr w:type="spellEnd"/>
      <w:r>
        <w:t xml:space="preserve"> диапазона максимального часового расхода газа, включая сметную стоимость строительства (реконструкции), в территориальных единичных расценках 2001 года, определяемых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r>
        <w:rPr>
          <w:noProof/>
        </w:rPr>
        <w:drawing>
          <wp:inline distT="0" distB="0" distL="0" distR="0">
            <wp:extent cx="231140" cy="27114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31140" cy="271145"/>
                    </a:xfrm>
                    <a:prstGeom prst="rect">
                      <a:avLst/>
                    </a:prstGeom>
                    <a:noFill/>
                    <a:ln>
                      <a:noFill/>
                    </a:ln>
                  </pic:spPr>
                </pic:pic>
              </a:graphicData>
            </a:graphic>
          </wp:inline>
        </w:drawing>
      </w:r>
      <w:r>
        <w:t xml:space="preserve"> - плановый суммарный максимальный часовой расход газа газоиспользующего оборудования Заявителей, подключаемого с использованием строящихся газорегуляторных пунктов n-</w:t>
      </w:r>
      <w:proofErr w:type="spellStart"/>
      <w:r>
        <w:t>ного</w:t>
      </w:r>
      <w:proofErr w:type="spellEnd"/>
      <w:r>
        <w:t xml:space="preserve"> диапазона максимального часового расхода газа в течение очередного календарного года.</w:t>
      </w:r>
    </w:p>
    <w:p w:rsidR="002537E7" w:rsidRDefault="002537E7" w:rsidP="002537E7">
      <w:bookmarkStart w:id="28" w:name="sub_1025"/>
      <w:r>
        <w:lastRenderedPageBreak/>
        <w:t>25. Стандартизированная тарифная ставка на покрытие расходов ГРО, связанных со строительством (реконструкцией) станций катодной защиты, рассчитывается по следующей формуле:</w:t>
      </w:r>
    </w:p>
    <w:bookmarkEnd w:id="28"/>
    <w:p w:rsidR="002537E7" w:rsidRDefault="002537E7" w:rsidP="002537E7"/>
    <w:p w:rsidR="002537E7" w:rsidRDefault="002537E7" w:rsidP="002537E7">
      <w:pPr>
        <w:ind w:firstLine="698"/>
        <w:jc w:val="center"/>
      </w:pPr>
      <w:bookmarkStart w:id="29" w:name="sub_131313"/>
      <w:r>
        <w:rPr>
          <w:noProof/>
        </w:rPr>
        <w:drawing>
          <wp:inline distT="0" distB="0" distL="0" distR="0">
            <wp:extent cx="1818640" cy="82423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18640" cy="824230"/>
                    </a:xfrm>
                    <a:prstGeom prst="rect">
                      <a:avLst/>
                    </a:prstGeom>
                    <a:noFill/>
                    <a:ln>
                      <a:noFill/>
                    </a:ln>
                  </pic:spPr>
                </pic:pic>
              </a:graphicData>
            </a:graphic>
          </wp:inline>
        </w:drawing>
      </w:r>
      <w:r>
        <w:t xml:space="preserve"> </w:t>
      </w:r>
      <w:r>
        <w:rPr>
          <w:noProof/>
        </w:rPr>
        <w:drawing>
          <wp:inline distT="0" distB="0" distL="0" distR="0">
            <wp:extent cx="1216025" cy="311785"/>
            <wp:effectExtent l="0" t="0" r="317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16025" cy="311785"/>
                    </a:xfrm>
                    <a:prstGeom prst="rect">
                      <a:avLst/>
                    </a:prstGeom>
                    <a:noFill/>
                    <a:ln>
                      <a:noFill/>
                    </a:ln>
                  </pic:spPr>
                </pic:pic>
              </a:graphicData>
            </a:graphic>
          </wp:inline>
        </w:drawing>
      </w:r>
      <w:r>
        <w:t xml:space="preserve"> (13)</w:t>
      </w:r>
    </w:p>
    <w:bookmarkEnd w:id="29"/>
    <w:p w:rsidR="002537E7" w:rsidRDefault="002537E7" w:rsidP="002537E7"/>
    <w:p w:rsidR="002537E7" w:rsidRDefault="002537E7" w:rsidP="002537E7">
      <w:r>
        <w:t>где:</w:t>
      </w:r>
    </w:p>
    <w:p w:rsidR="002537E7" w:rsidRDefault="002537E7" w:rsidP="002537E7">
      <w:r>
        <w:rPr>
          <w:noProof/>
        </w:rPr>
        <w:drawing>
          <wp:inline distT="0" distB="0" distL="0" distR="0">
            <wp:extent cx="301625" cy="271145"/>
            <wp:effectExtent l="0" t="0" r="317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01625" cy="271145"/>
                    </a:xfrm>
                    <a:prstGeom prst="rect">
                      <a:avLst/>
                    </a:prstGeom>
                    <a:noFill/>
                    <a:ln>
                      <a:noFill/>
                    </a:ln>
                  </pic:spPr>
                </pic:pic>
              </a:graphicData>
            </a:graphic>
          </wp:inline>
        </w:drawing>
      </w:r>
      <w:r>
        <w:t xml:space="preserve"> - плановые суммарные расходы, связанные со строительством (реконструкцией) станций катодной защиты, включая сметную стоимость строительства (реконструкции), в территориальных единичных расценках 2001 года, определяемых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r>
        <w:rPr>
          <w:noProof/>
        </w:rPr>
        <w:drawing>
          <wp:inline distT="0" distB="0" distL="0" distR="0">
            <wp:extent cx="321310" cy="271145"/>
            <wp:effectExtent l="0" t="0" r="254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1310" cy="271145"/>
                    </a:xfrm>
                    <a:prstGeom prst="rect">
                      <a:avLst/>
                    </a:prstGeom>
                    <a:noFill/>
                    <a:ln>
                      <a:noFill/>
                    </a:ln>
                  </pic:spPr>
                </pic:pic>
              </a:graphicData>
            </a:graphic>
          </wp:inline>
        </w:drawing>
      </w:r>
      <w:r>
        <w:t xml:space="preserve"> - плановый суммарный максимальный часовой расход газа газоиспользующего оборудования Заявителей, подключаемого с использованием строящихся станций катодной защиты в течение очередного календарного года.</w:t>
      </w:r>
    </w:p>
    <w:p w:rsidR="002537E7" w:rsidRDefault="002537E7" w:rsidP="002537E7">
      <w:bookmarkStart w:id="30" w:name="sub_1026"/>
      <w:r>
        <w:t>26. Стандартизированные тарифные ставки на покрытие расходов ГРО, связанных с проверкой выполнения Заявителем технических условий и осуществлением фактического подключения (технологического присоединения) объектов капитального строительства Заявителя к сети газораспределения посредством осуществления комплекса технических мероприятий, обеспечивающих физическое соединение (контакт) объектов исполнителя и стального газопровода ГРО i-того диапазона диаметров (полиэтиленового газопровода ГРО k-того диапазона диаметров), и проведением пуска газа, определяются по следующей формуле:</w:t>
      </w:r>
    </w:p>
    <w:bookmarkEnd w:id="30"/>
    <w:p w:rsidR="002537E7" w:rsidRDefault="002537E7" w:rsidP="002537E7"/>
    <w:p w:rsidR="002537E7" w:rsidRDefault="002537E7" w:rsidP="002537E7">
      <w:pPr>
        <w:ind w:firstLine="698"/>
        <w:jc w:val="center"/>
      </w:pPr>
      <w:bookmarkStart w:id="31" w:name="sub_141414"/>
      <w:r>
        <w:rPr>
          <w:noProof/>
        </w:rPr>
        <w:drawing>
          <wp:inline distT="0" distB="0" distL="0" distR="0">
            <wp:extent cx="1577340" cy="7937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77340" cy="793750"/>
                    </a:xfrm>
                    <a:prstGeom prst="rect">
                      <a:avLst/>
                    </a:prstGeom>
                    <a:noFill/>
                    <a:ln>
                      <a:noFill/>
                    </a:ln>
                  </pic:spPr>
                </pic:pic>
              </a:graphicData>
            </a:graphic>
          </wp:inline>
        </w:drawing>
      </w:r>
      <w:r>
        <w:t xml:space="preserve"> (руб.) (14)</w:t>
      </w:r>
    </w:p>
    <w:bookmarkEnd w:id="31"/>
    <w:p w:rsidR="002537E7" w:rsidRDefault="002537E7" w:rsidP="002537E7"/>
    <w:p w:rsidR="002537E7" w:rsidRDefault="002537E7" w:rsidP="002537E7">
      <w:r>
        <w:t>где:</w:t>
      </w:r>
    </w:p>
    <w:p w:rsidR="002537E7" w:rsidRDefault="002537E7" w:rsidP="002537E7">
      <w:r>
        <w:rPr>
          <w:noProof/>
        </w:rPr>
        <w:drawing>
          <wp:inline distT="0" distB="0" distL="0" distR="0">
            <wp:extent cx="231140" cy="27114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1140" cy="271145"/>
                    </a:xfrm>
                    <a:prstGeom prst="rect">
                      <a:avLst/>
                    </a:prstGeom>
                    <a:noFill/>
                    <a:ln>
                      <a:noFill/>
                    </a:ln>
                  </pic:spPr>
                </pic:pic>
              </a:graphicData>
            </a:graphic>
          </wp:inline>
        </w:drawing>
      </w:r>
      <w:r>
        <w:t xml:space="preserve"> - расходы, связанные с проверкой выполнения Заявителем технических условий и осуществлением фактического подключения (технологического присоединения) объектов капитального строительства Заявителя к сети газораспределения посредством осуществления комплекса технических мероприятий, обеспечивающих физическое соединение (контакт) объектов исполнителя и стального газопровода ГРО i-того диапазона диаметров (полиэтиленового газопровода ГРО k-того диапазона диаметров), и проведение пуска газа.</w:t>
      </w:r>
    </w:p>
    <w:p w:rsidR="002537E7" w:rsidRDefault="002537E7" w:rsidP="002537E7">
      <w:bookmarkStart w:id="32" w:name="sub_1027"/>
      <w:r>
        <w:lastRenderedPageBreak/>
        <w:t>27. В случае если какие-либо виды расходов, учитываемых при расчете стандартизированных тарифных ставок на строительство (реконструкцию) газопроводов и объектов на них, не учтены в территориальных единичных расценках 2001 года, то они приводятся к базе 2001 года по следующей формуле:</w:t>
      </w:r>
    </w:p>
    <w:bookmarkEnd w:id="32"/>
    <w:p w:rsidR="002537E7" w:rsidRDefault="002537E7" w:rsidP="002537E7"/>
    <w:p w:rsidR="002537E7" w:rsidRDefault="002537E7" w:rsidP="002537E7">
      <w:pPr>
        <w:ind w:firstLine="698"/>
        <w:jc w:val="center"/>
      </w:pPr>
      <w:bookmarkStart w:id="33" w:name="sub_151515"/>
      <w:r>
        <w:rPr>
          <w:noProof/>
        </w:rPr>
        <w:drawing>
          <wp:inline distT="0" distB="0" distL="0" distR="0">
            <wp:extent cx="1185545" cy="7937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85545" cy="793750"/>
                    </a:xfrm>
                    <a:prstGeom prst="rect">
                      <a:avLst/>
                    </a:prstGeom>
                    <a:noFill/>
                    <a:ln>
                      <a:noFill/>
                    </a:ln>
                  </pic:spPr>
                </pic:pic>
              </a:graphicData>
            </a:graphic>
          </wp:inline>
        </w:drawing>
      </w:r>
      <w:r>
        <w:t xml:space="preserve"> (руб.) (15)</w:t>
      </w:r>
    </w:p>
    <w:bookmarkEnd w:id="33"/>
    <w:p w:rsidR="002537E7" w:rsidRDefault="002537E7" w:rsidP="002537E7"/>
    <w:p w:rsidR="002537E7" w:rsidRDefault="002537E7" w:rsidP="002537E7">
      <w:r>
        <w:t>где:</w:t>
      </w:r>
    </w:p>
    <w:p w:rsidR="002537E7" w:rsidRDefault="002537E7" w:rsidP="002537E7">
      <w:r>
        <w:rPr>
          <w:noProof/>
        </w:rPr>
        <w:drawing>
          <wp:inline distT="0" distB="0" distL="0" distR="0">
            <wp:extent cx="311785" cy="27114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11785" cy="271145"/>
                    </a:xfrm>
                    <a:prstGeom prst="rect">
                      <a:avLst/>
                    </a:prstGeom>
                    <a:noFill/>
                    <a:ln>
                      <a:noFill/>
                    </a:ln>
                  </pic:spPr>
                </pic:pic>
              </a:graphicData>
            </a:graphic>
          </wp:inline>
        </w:drawing>
      </w:r>
      <w:r>
        <w:t xml:space="preserve"> - плановый уровень расходов, учитываемых при расчете стандартизированных тарифных ставок на строительство (реконструкцию) газопроводов и объектов на них, на очередной календарный год, не учтенных в территориальных единичных расценках 2001 года;</w:t>
      </w:r>
    </w:p>
    <w:p w:rsidR="002537E7" w:rsidRDefault="002537E7" w:rsidP="002537E7">
      <w:r>
        <w:rPr>
          <w:noProof/>
        </w:rPr>
        <w:drawing>
          <wp:inline distT="0" distB="0" distL="0" distR="0">
            <wp:extent cx="522605" cy="4724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2605" cy="472440"/>
                    </a:xfrm>
                    <a:prstGeom prst="rect">
                      <a:avLst/>
                    </a:prstGeom>
                    <a:noFill/>
                    <a:ln>
                      <a:noFill/>
                    </a:ln>
                  </pic:spPr>
                </pic:pic>
              </a:graphicData>
            </a:graphic>
          </wp:inline>
        </w:drawing>
      </w:r>
      <w:r>
        <w:t xml:space="preserve"> - индекс изменения сметной стоимости строительно-монтажных работ для субъекта Российской Федерации на месяц, предшествующий месяцу, данные по которым используются для расчета, к территориальным единичным расценкам 2001 года, рекомендуемый уполномоченным органом исполнительной власти субъекта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537E7" w:rsidRDefault="002537E7" w:rsidP="002537E7">
      <w:bookmarkStart w:id="34" w:name="sub_1028"/>
      <w:r>
        <w:t>28. Плановые параметры, используемые для расчета стандартизированных тарифных ставок, определяются на очередной календарный год с учетом статистики за последние 3 года (при наличии) и выданных Заявителям технических условий, по которым еще не произошло подключение (технологическое присоединение).</w:t>
      </w:r>
    </w:p>
    <w:bookmarkEnd w:id="34"/>
    <w:p w:rsidR="002537E7" w:rsidRDefault="002537E7" w:rsidP="002537E7"/>
    <w:p w:rsidR="002537E7" w:rsidRDefault="002537E7" w:rsidP="002537E7">
      <w:pPr>
        <w:pStyle w:val="1"/>
      </w:pPr>
      <w:bookmarkStart w:id="35" w:name="sub_400"/>
      <w:r>
        <w:t>IV. Определение величины платы за технологическое присоединение на основании утвержденных стандартизированных тарифных ставок</w:t>
      </w:r>
    </w:p>
    <w:bookmarkEnd w:id="35"/>
    <w:p w:rsidR="002537E7" w:rsidRDefault="002537E7" w:rsidP="002537E7"/>
    <w:p w:rsidR="002537E7" w:rsidRDefault="002537E7" w:rsidP="002537E7">
      <w:bookmarkStart w:id="36" w:name="sub_1029"/>
      <w:r>
        <w:t xml:space="preserve">29. Величина платы за технологическое присоединение на основании утвержденных стандартизированных тарифных ставок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более 150 метров определяется по следующей формуле с учетом положений </w:t>
      </w:r>
      <w:hyperlink w:anchor="sub_1016" w:history="1">
        <w:r>
          <w:rPr>
            <w:rStyle w:val="a3"/>
          </w:rPr>
          <w:t>пункта 16</w:t>
        </w:r>
      </w:hyperlink>
      <w:r>
        <w:t xml:space="preserve"> настоящих Методических указаний:</w:t>
      </w:r>
    </w:p>
    <w:bookmarkEnd w:id="36"/>
    <w:p w:rsidR="002537E7" w:rsidRDefault="002537E7" w:rsidP="002537E7"/>
    <w:p w:rsidR="002537E7" w:rsidRDefault="002537E7" w:rsidP="002537E7">
      <w:pPr>
        <w:sectPr w:rsidR="002537E7">
          <w:pgSz w:w="11900" w:h="16800"/>
          <w:pgMar w:top="1440" w:right="800" w:bottom="1440" w:left="800" w:header="720" w:footer="720" w:gutter="0"/>
          <w:cols w:space="720"/>
          <w:noEndnote/>
        </w:sectPr>
      </w:pPr>
    </w:p>
    <w:p w:rsidR="002537E7" w:rsidRDefault="002537E7" w:rsidP="002537E7">
      <w:bookmarkStart w:id="37" w:name="sub_161616"/>
      <w:r>
        <w:rPr>
          <w:noProof/>
        </w:rPr>
        <w:lastRenderedPageBreak/>
        <w:drawing>
          <wp:inline distT="0" distB="0" distL="0" distR="0">
            <wp:extent cx="7023735" cy="81407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7023735" cy="814070"/>
                    </a:xfrm>
                    <a:prstGeom prst="rect">
                      <a:avLst/>
                    </a:prstGeom>
                    <a:noFill/>
                    <a:ln>
                      <a:noFill/>
                    </a:ln>
                  </pic:spPr>
                </pic:pic>
              </a:graphicData>
            </a:graphic>
          </wp:inline>
        </w:drawing>
      </w:r>
      <w:r>
        <w:t xml:space="preserve"> (руб.) (16)</w:t>
      </w:r>
    </w:p>
    <w:bookmarkEnd w:id="37"/>
    <w:p w:rsidR="002537E7" w:rsidRDefault="002537E7" w:rsidP="002537E7">
      <w:pPr>
        <w:sectPr w:rsidR="002537E7">
          <w:pgSz w:w="16837" w:h="11905" w:orient="landscape"/>
          <w:pgMar w:top="1440" w:right="800" w:bottom="1440" w:left="800" w:header="720" w:footer="720" w:gutter="0"/>
          <w:cols w:space="720"/>
          <w:noEndnote/>
        </w:sectPr>
      </w:pPr>
    </w:p>
    <w:p w:rsidR="002537E7" w:rsidRDefault="002537E7" w:rsidP="002537E7"/>
    <w:p w:rsidR="002537E7" w:rsidRDefault="002537E7" w:rsidP="002537E7">
      <w:r>
        <w:t>где:</w:t>
      </w:r>
    </w:p>
    <w:p w:rsidR="002537E7" w:rsidRDefault="002537E7" w:rsidP="002537E7">
      <w:r>
        <w:rPr>
          <w:noProof/>
        </w:rPr>
        <w:drawing>
          <wp:inline distT="0" distB="0" distL="0" distR="0">
            <wp:extent cx="210820" cy="27114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10820" cy="271145"/>
                    </a:xfrm>
                    <a:prstGeom prst="rect">
                      <a:avLst/>
                    </a:prstGeom>
                    <a:noFill/>
                    <a:ln>
                      <a:noFill/>
                    </a:ln>
                  </pic:spPr>
                </pic:pic>
              </a:graphicData>
            </a:graphic>
          </wp:inline>
        </w:drawing>
      </w:r>
      <w:r>
        <w:t xml:space="preserve"> - максимальный часовой расход газа газоиспользующего оборудования Заявителя в соответствии с техническими условиями без учета расхода </w:t>
      </w:r>
      <w:proofErr w:type="gramStart"/>
      <w:r>
        <w:t>газа</w:t>
      </w:r>
      <w:proofErr w:type="gramEnd"/>
      <w:r>
        <w:t xml:space="preserve"> ранее подключенного в рассматриваемой(-ых) точке(-ах) подключения газоиспользующего оборудования Заявителя;</w:t>
      </w:r>
    </w:p>
    <w:p w:rsidR="002537E7" w:rsidRDefault="002537E7" w:rsidP="002537E7">
      <w:r>
        <w:rPr>
          <w:noProof/>
        </w:rPr>
        <w:drawing>
          <wp:inline distT="0" distB="0" distL="0" distR="0">
            <wp:extent cx="191135" cy="27114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91135" cy="271145"/>
                    </a:xfrm>
                    <a:prstGeom prst="rect">
                      <a:avLst/>
                    </a:prstGeom>
                    <a:noFill/>
                    <a:ln>
                      <a:noFill/>
                    </a:ln>
                  </pic:spPr>
                </pic:pic>
              </a:graphicData>
            </a:graphic>
          </wp:inline>
        </w:drawing>
      </w:r>
      <w:r>
        <w:t xml:space="preserve"> - протяженность строящегося стального газопровода i-того диапазона диаметров и j-типа способа прокладки;</w:t>
      </w:r>
    </w:p>
    <w:p w:rsidR="002537E7" w:rsidRDefault="002537E7" w:rsidP="002537E7">
      <w:r>
        <w:rPr>
          <w:noProof/>
        </w:rPr>
        <w:drawing>
          <wp:inline distT="0" distB="0" distL="0" distR="0">
            <wp:extent cx="191135" cy="27114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135" cy="271145"/>
                    </a:xfrm>
                    <a:prstGeom prst="rect">
                      <a:avLst/>
                    </a:prstGeom>
                    <a:noFill/>
                    <a:ln>
                      <a:noFill/>
                    </a:ln>
                  </pic:spPr>
                </pic:pic>
              </a:graphicData>
            </a:graphic>
          </wp:inline>
        </w:drawing>
      </w:r>
      <w:r>
        <w:t xml:space="preserve"> - протяженность строящегося полиэтиленового газопровода k-того диапазона диаметров;</w:t>
      </w:r>
    </w:p>
    <w:p w:rsidR="002537E7" w:rsidRDefault="002537E7" w:rsidP="002537E7">
      <w:r>
        <w:rPr>
          <w:noProof/>
        </w:rPr>
        <w:drawing>
          <wp:inline distT="0" distB="0" distL="0" distR="0">
            <wp:extent cx="281305" cy="2711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81305" cy="271145"/>
                    </a:xfrm>
                    <a:prstGeom prst="rect">
                      <a:avLst/>
                    </a:prstGeom>
                    <a:noFill/>
                    <a:ln>
                      <a:noFill/>
                    </a:ln>
                  </pic:spPr>
                </pic:pic>
              </a:graphicData>
            </a:graphic>
          </wp:inline>
        </w:drawing>
      </w:r>
      <w:r>
        <w:t xml:space="preserve"> - максимальный часовой расход газа газоиспользующего оборудования Заявителя, подключаемый с использованием газорегуляторного пункта n-</w:t>
      </w:r>
      <w:proofErr w:type="spellStart"/>
      <w:r>
        <w:t>ного</w:t>
      </w:r>
      <w:proofErr w:type="spellEnd"/>
      <w:r>
        <w:t xml:space="preserve"> диапазона максимального часового расхода газа, без учета расхода </w:t>
      </w:r>
      <w:proofErr w:type="gramStart"/>
      <w:r>
        <w:t>газа</w:t>
      </w:r>
      <w:proofErr w:type="gramEnd"/>
      <w:r>
        <w:t xml:space="preserve"> ранее подключенного в рассматриваемой(-ых) точке(-ах) подключения газоиспользующего оборудования Заявителя;</w:t>
      </w:r>
    </w:p>
    <w:p w:rsidR="002537E7" w:rsidRDefault="002537E7" w:rsidP="002537E7">
      <w:r>
        <w:rPr>
          <w:noProof/>
        </w:rPr>
        <w:drawing>
          <wp:inline distT="0" distB="0" distL="0" distR="0">
            <wp:extent cx="371475" cy="27114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71475" cy="271145"/>
                    </a:xfrm>
                    <a:prstGeom prst="rect">
                      <a:avLst/>
                    </a:prstGeom>
                    <a:noFill/>
                    <a:ln>
                      <a:noFill/>
                    </a:ln>
                  </pic:spPr>
                </pic:pic>
              </a:graphicData>
            </a:graphic>
          </wp:inline>
        </w:drawing>
      </w:r>
      <w:r>
        <w:t xml:space="preserve"> - максимальный часовой расход газа газоиспользующего оборудования Заявителя, подключаемый с использованием станции катодной защиты, без учета расхода </w:t>
      </w:r>
      <w:proofErr w:type="gramStart"/>
      <w:r>
        <w:t>газа</w:t>
      </w:r>
      <w:proofErr w:type="gramEnd"/>
      <w:r>
        <w:t xml:space="preserve"> ранее подключенного в рассматриваемой(-ых) точке(-ах) подключения газоиспользующего оборудования Заявителя;</w:t>
      </w:r>
    </w:p>
    <w:p w:rsidR="002537E7" w:rsidRDefault="002537E7" w:rsidP="002537E7">
      <w:r>
        <w:rPr>
          <w:noProof/>
        </w:rPr>
        <w:drawing>
          <wp:inline distT="0" distB="0" distL="0" distR="0">
            <wp:extent cx="271145" cy="27114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1145" cy="271145"/>
                    </a:xfrm>
                    <a:prstGeom prst="rect">
                      <a:avLst/>
                    </a:prstGeom>
                    <a:noFill/>
                    <a:ln>
                      <a:noFill/>
                    </a:ln>
                  </pic:spPr>
                </pic:pic>
              </a:graphicData>
            </a:graphic>
          </wp:inline>
        </w:drawing>
      </w:r>
      <w:r>
        <w:t xml:space="preserve"> - количество фактических подключений (технологических присоединений) к стальному газопроводу i-того диапазона диаметров (полиэтиленовому газопроводу k-того диапазона диаметров).</w:t>
      </w:r>
    </w:p>
    <w:p w:rsidR="002537E7" w:rsidRDefault="002537E7" w:rsidP="002537E7">
      <w:bookmarkStart w:id="38" w:name="sub_1030"/>
      <w:r>
        <w:t xml:space="preserve">30. Величина платы за технологическое присоединение на основании утвержденных стандартизированных тарифных ставок для случаев, когда протяженность строящейся (реконструируемой) сети газораспределения, измеряемая по прямой линии от границы земельного участка до сети газораспределения ГРО, составляет 150 метров и менее определяется по следующей формуле с учетом положений </w:t>
      </w:r>
      <w:hyperlink w:anchor="sub_1016" w:history="1">
        <w:r>
          <w:rPr>
            <w:rStyle w:val="a3"/>
          </w:rPr>
          <w:t>пункта 16</w:t>
        </w:r>
      </w:hyperlink>
      <w:r>
        <w:t xml:space="preserve"> настоящих Методических указаний:</w:t>
      </w:r>
    </w:p>
    <w:bookmarkEnd w:id="38"/>
    <w:p w:rsidR="002537E7" w:rsidRDefault="002537E7" w:rsidP="002537E7"/>
    <w:p w:rsidR="002537E7" w:rsidRDefault="002537E7" w:rsidP="002537E7">
      <w:pPr>
        <w:ind w:firstLine="698"/>
        <w:jc w:val="center"/>
      </w:pPr>
      <w:bookmarkStart w:id="39" w:name="sub_171717"/>
      <w:r>
        <w:rPr>
          <w:noProof/>
        </w:rPr>
        <w:drawing>
          <wp:inline distT="0" distB="0" distL="0" distR="0">
            <wp:extent cx="5546725" cy="7835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546725" cy="783590"/>
                    </a:xfrm>
                    <a:prstGeom prst="rect">
                      <a:avLst/>
                    </a:prstGeom>
                    <a:noFill/>
                    <a:ln>
                      <a:noFill/>
                    </a:ln>
                  </pic:spPr>
                </pic:pic>
              </a:graphicData>
            </a:graphic>
          </wp:inline>
        </w:drawing>
      </w:r>
      <w:r>
        <w:t xml:space="preserve"> (руб.) (17)</w:t>
      </w:r>
    </w:p>
    <w:bookmarkEnd w:id="39"/>
    <w:p w:rsidR="002537E7" w:rsidRDefault="002537E7" w:rsidP="002537E7"/>
    <w:p w:rsidR="00C26D23" w:rsidRDefault="002537E7">
      <w:bookmarkStart w:id="40" w:name="sub_1031"/>
      <w:r>
        <w:t xml:space="preserve">31. Величина платы за технологическое присоединение определяется по </w:t>
      </w:r>
      <w:hyperlink w:anchor="sub_161616" w:history="1">
        <w:r>
          <w:rPr>
            <w:rStyle w:val="a3"/>
          </w:rPr>
          <w:t>формулам 16</w:t>
        </w:r>
      </w:hyperlink>
      <w:r>
        <w:t xml:space="preserve"> и </w:t>
      </w:r>
      <w:hyperlink w:anchor="sub_171717" w:history="1">
        <w:r>
          <w:rPr>
            <w:rStyle w:val="a3"/>
          </w:rPr>
          <w:t>17</w:t>
        </w:r>
      </w:hyperlink>
      <w:r>
        <w:t xml:space="preserve"> исходя из максимального часового расхода газа газоиспользующего оборудования Заявителя, определяемого в соответствии с договором о подключении, а также состава и технических параметров сетей газораспределения и объектов на них (протяженность, диаметры, материалы и типы прокладки газопроводов, максимальный часовой расход газа газорегуляторных пунктов и установок), строительство (реконструкция) которых предусмотрена проектом газоснабжения, разработанным с учетом схемы газоснабжения территории поселения (при наличии).</w:t>
      </w:r>
      <w:bookmarkStart w:id="41" w:name="_GoBack"/>
      <w:bookmarkEnd w:id="40"/>
      <w:bookmarkEnd w:id="41"/>
    </w:p>
    <w:sectPr w:rsidR="00C26D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E7"/>
    <w:rsid w:val="002537E7"/>
    <w:rsid w:val="00C26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2F532"/>
  <w15:chartTrackingRefBased/>
  <w15:docId w15:val="{AA4F9826-CB77-452D-AD61-20FD858D0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9"/>
    <w:qFormat/>
    <w:rsid w:val="002537E7"/>
    <w:pPr>
      <w:widowControl w:val="0"/>
      <w:autoSpaceDE w:val="0"/>
      <w:autoSpaceDN w:val="0"/>
      <w:adjustRightInd w:val="0"/>
      <w:spacing w:before="108" w:after="108" w:line="240" w:lineRule="auto"/>
      <w:jc w:val="center"/>
      <w:outlineLvl w:val="0"/>
    </w:pPr>
    <w:rPr>
      <w:rFonts w:ascii="Times New Roman CYR" w:eastAsiaTheme="minorEastAsia" w:hAnsi="Times New Roman CYR" w:cs="Times New Roman CYR"/>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37E7"/>
    <w:rPr>
      <w:rFonts w:ascii="Times New Roman CYR" w:eastAsiaTheme="minorEastAsia" w:hAnsi="Times New Roman CYR" w:cs="Times New Roman CYR"/>
      <w:b/>
      <w:bCs/>
      <w:color w:val="26282F"/>
      <w:sz w:val="24"/>
      <w:szCs w:val="24"/>
      <w:lang w:eastAsia="ru-RU"/>
    </w:rPr>
  </w:style>
  <w:style w:type="character" w:customStyle="1" w:styleId="a3">
    <w:name w:val="Гипертекстовая ссылка"/>
    <w:basedOn w:val="a0"/>
    <w:uiPriority w:val="99"/>
    <w:rsid w:val="002537E7"/>
    <w:rPr>
      <w:b w:val="0"/>
      <w:bCs w:val="0"/>
      <w:color w:val="106BBE"/>
    </w:rPr>
  </w:style>
  <w:style w:type="character" w:customStyle="1" w:styleId="a4">
    <w:name w:val="Цветовое выделение"/>
    <w:uiPriority w:val="99"/>
    <w:rsid w:val="002537E7"/>
    <w:rPr>
      <w:b/>
      <w:bCs/>
      <w:color w:val="26282F"/>
    </w:rPr>
  </w:style>
  <w:style w:type="paragraph" w:customStyle="1" w:styleId="a5">
    <w:name w:val="Комментарий"/>
    <w:basedOn w:val="a"/>
    <w:next w:val="a"/>
    <w:uiPriority w:val="99"/>
    <w:rsid w:val="002537E7"/>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shd w:val="clear" w:color="auto" w:fill="F0F0F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image" Target="media/image22.emf"/><Relationship Id="rId39" Type="http://schemas.openxmlformats.org/officeDocument/2006/relationships/image" Target="media/image35.emf"/><Relationship Id="rId3" Type="http://schemas.openxmlformats.org/officeDocument/2006/relationships/webSettings" Target="webSettings.xml"/><Relationship Id="rId21" Type="http://schemas.openxmlformats.org/officeDocument/2006/relationships/image" Target="media/image17.emf"/><Relationship Id="rId34" Type="http://schemas.openxmlformats.org/officeDocument/2006/relationships/image" Target="media/image30.emf"/><Relationship Id="rId42" Type="http://schemas.openxmlformats.org/officeDocument/2006/relationships/image" Target="media/image38.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emf"/><Relationship Id="rId33" Type="http://schemas.openxmlformats.org/officeDocument/2006/relationships/image" Target="media/image29.emf"/><Relationship Id="rId38" Type="http://schemas.openxmlformats.org/officeDocument/2006/relationships/image" Target="media/image34.emf"/><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2.emf"/><Relationship Id="rId20" Type="http://schemas.openxmlformats.org/officeDocument/2006/relationships/image" Target="media/image16.emf"/><Relationship Id="rId29" Type="http://schemas.openxmlformats.org/officeDocument/2006/relationships/image" Target="media/image25.emf"/><Relationship Id="rId41" Type="http://schemas.openxmlformats.org/officeDocument/2006/relationships/image" Target="media/image37.emf"/><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emf"/><Relationship Id="rId32" Type="http://schemas.openxmlformats.org/officeDocument/2006/relationships/image" Target="media/image28.emf"/><Relationship Id="rId37" Type="http://schemas.openxmlformats.org/officeDocument/2006/relationships/image" Target="media/image33.emf"/><Relationship Id="rId40" Type="http://schemas.openxmlformats.org/officeDocument/2006/relationships/image" Target="media/image36.emf"/><Relationship Id="rId45"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image" Target="media/image11.emf"/><Relationship Id="rId23" Type="http://schemas.openxmlformats.org/officeDocument/2006/relationships/image" Target="media/image19.emf"/><Relationship Id="rId28" Type="http://schemas.openxmlformats.org/officeDocument/2006/relationships/image" Target="media/image24.emf"/><Relationship Id="rId36" Type="http://schemas.openxmlformats.org/officeDocument/2006/relationships/image" Target="media/image32.emf"/><Relationship Id="rId10" Type="http://schemas.openxmlformats.org/officeDocument/2006/relationships/image" Target="media/image6.emf"/><Relationship Id="rId19" Type="http://schemas.openxmlformats.org/officeDocument/2006/relationships/image" Target="media/image15.emf"/><Relationship Id="rId31" Type="http://schemas.openxmlformats.org/officeDocument/2006/relationships/image" Target="media/image27.emf"/><Relationship Id="rId44" Type="http://schemas.openxmlformats.org/officeDocument/2006/relationships/image" Target="media/image40.emf"/><Relationship Id="rId4" Type="http://schemas.openxmlformats.org/officeDocument/2006/relationships/hyperlink" Target="http://ivo.garant.ru/document?id=70574284&amp;sub=0" TargetMode="Externa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image" Target="media/image23.emf"/><Relationship Id="rId30" Type="http://schemas.openxmlformats.org/officeDocument/2006/relationships/image" Target="media/image26.emf"/><Relationship Id="rId35" Type="http://schemas.openxmlformats.org/officeDocument/2006/relationships/image" Target="media/image31.emf"/><Relationship Id="rId43" Type="http://schemas.openxmlformats.org/officeDocument/2006/relationships/image" Target="media/image3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3411</Words>
  <Characters>19448</Characters>
  <Application>Microsoft Office Word</Application>
  <DocSecurity>0</DocSecurity>
  <Lines>162</Lines>
  <Paragraphs>45</Paragraphs>
  <ScaleCrop>false</ScaleCrop>
  <Company/>
  <LinksUpToDate>false</LinksUpToDate>
  <CharactersWithSpaces>22814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Eknm001</dc:creator>
  <cp:keywords/>
  <dc:description/>
  <cp:lastModifiedBy>Eknm001</cp:lastModifiedBy>
  <cp:revision>1</cp:revision>
  <dcterms:created xsi:type="dcterms:W3CDTF">2017-12-21T08:39:00Z</dcterms:created>
  <dcterms:modified xsi:type="dcterms:W3CDTF">2017-12-21T08:50:00Z</dcterms:modified>
</cp:coreProperties>
</file>